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100" w:line="360" w:lineRule="auto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附件：</w:t>
      </w:r>
    </w:p>
    <w:p>
      <w:pPr>
        <w:spacing w:beforeLines="50" w:afterLines="100" w:line="360" w:lineRule="auto"/>
        <w:jc w:val="center"/>
        <w:rPr>
          <w:rFonts w:ascii="微软雅黑" w:hAnsi="微软雅黑" w:eastAsia="微软雅黑"/>
          <w:b/>
          <w:bCs/>
          <w:sz w:val="30"/>
          <w:szCs w:val="30"/>
        </w:rPr>
      </w:pPr>
      <w:r>
        <w:rPr>
          <w:rFonts w:ascii="微软雅黑" w:hAnsi="微软雅黑" w:eastAsia="微软雅黑"/>
          <w:b/>
          <w:bCs/>
          <w:sz w:val="30"/>
          <w:szCs w:val="30"/>
        </w:rPr>
        <w:t>浙江育英职业技术学院科研骨干培养计划</w:t>
      </w:r>
    </w:p>
    <w:p>
      <w:pPr>
        <w:spacing w:line="360" w:lineRule="auto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为贯彻国家、省、市中长期教育改革和发展规划纲要，培养一批中青年科研骨干，提升学校科研水平和服务地方的能力，启动</w:t>
      </w:r>
      <w:bookmarkStart w:id="0" w:name="_GoBack"/>
      <w:bookmarkEnd w:id="0"/>
      <w:r>
        <w:rPr>
          <w:rFonts w:hint="eastAsia" w:ascii="仿宋" w:hAnsi="仿宋" w:eastAsia="仿宋" w:cs="Times New Roman"/>
          <w:sz w:val="28"/>
          <w:szCs w:val="28"/>
        </w:rPr>
        <w:t>学院科研骨干培养计划。</w:t>
      </w:r>
    </w:p>
    <w:p>
      <w:pPr>
        <w:spacing w:line="360" w:lineRule="auto"/>
        <w:ind w:firstLine="562" w:firstLineChars="200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一、培养目标</w:t>
      </w:r>
    </w:p>
    <w:p>
      <w:pPr>
        <w:spacing w:line="360" w:lineRule="auto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以</w:t>
      </w:r>
      <w:r>
        <w:rPr>
          <w:rFonts w:hint="eastAsia" w:ascii="仿宋" w:hAnsi="仿宋" w:eastAsia="仿宋" w:cs="Times New Roman"/>
          <w:sz w:val="28"/>
          <w:szCs w:val="28"/>
        </w:rPr>
        <w:t>改革</w:t>
      </w:r>
      <w:r>
        <w:rPr>
          <w:rFonts w:ascii="仿宋" w:hAnsi="仿宋" w:eastAsia="仿宋" w:cs="Times New Roman"/>
          <w:sz w:val="28"/>
          <w:szCs w:val="28"/>
        </w:rPr>
        <w:t>创新为引领</w:t>
      </w:r>
      <w:r>
        <w:rPr>
          <w:rFonts w:hint="eastAsia" w:ascii="仿宋" w:hAnsi="仿宋" w:eastAsia="仿宋" w:cs="Times New Roman"/>
          <w:sz w:val="28"/>
          <w:szCs w:val="28"/>
        </w:rPr>
        <w:t>，</w:t>
      </w:r>
      <w:r>
        <w:rPr>
          <w:rFonts w:ascii="仿宋" w:hAnsi="仿宋" w:eastAsia="仿宋" w:cs="Times New Roman"/>
          <w:sz w:val="28"/>
          <w:szCs w:val="28"/>
        </w:rPr>
        <w:t>以服务</w:t>
      </w:r>
      <w:r>
        <w:rPr>
          <w:rFonts w:hint="eastAsia" w:ascii="仿宋" w:hAnsi="仿宋" w:eastAsia="仿宋" w:cs="Times New Roman"/>
          <w:sz w:val="28"/>
          <w:szCs w:val="28"/>
        </w:rPr>
        <w:t>学院</w:t>
      </w:r>
      <w:r>
        <w:rPr>
          <w:rFonts w:ascii="仿宋" w:hAnsi="仿宋" w:eastAsia="仿宋" w:cs="Times New Roman"/>
          <w:sz w:val="28"/>
          <w:szCs w:val="28"/>
        </w:rPr>
        <w:t>为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目的</w:t>
      </w:r>
      <w:r>
        <w:rPr>
          <w:rFonts w:hint="eastAsia" w:ascii="仿宋" w:hAnsi="仿宋" w:eastAsia="仿宋" w:cs="Times New Roman"/>
          <w:sz w:val="28"/>
          <w:szCs w:val="28"/>
        </w:rPr>
        <w:t>，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遵循</w:t>
      </w:r>
      <w:r>
        <w:rPr>
          <w:rFonts w:ascii="仿宋" w:hAnsi="仿宋" w:eastAsia="仿宋" w:cs="Times New Roman"/>
          <w:sz w:val="28"/>
          <w:szCs w:val="28"/>
        </w:rPr>
        <w:t>有利于学科建设</w:t>
      </w:r>
      <w:r>
        <w:rPr>
          <w:rFonts w:hint="eastAsia" w:ascii="仿宋" w:hAnsi="仿宋" w:eastAsia="仿宋" w:cs="Times New Roman"/>
          <w:sz w:val="28"/>
          <w:szCs w:val="28"/>
        </w:rPr>
        <w:t>、</w:t>
      </w:r>
      <w:r>
        <w:rPr>
          <w:rFonts w:ascii="仿宋" w:hAnsi="仿宋" w:eastAsia="仿宋" w:cs="Times New Roman"/>
          <w:sz w:val="28"/>
          <w:szCs w:val="28"/>
        </w:rPr>
        <w:t>有利于人才培养</w:t>
      </w:r>
      <w:r>
        <w:rPr>
          <w:rFonts w:hint="eastAsia" w:ascii="仿宋" w:hAnsi="仿宋" w:eastAsia="仿宋" w:cs="Times New Roman"/>
          <w:sz w:val="28"/>
          <w:szCs w:val="28"/>
        </w:rPr>
        <w:t>、</w:t>
      </w:r>
      <w:r>
        <w:rPr>
          <w:rFonts w:ascii="仿宋" w:hAnsi="仿宋" w:eastAsia="仿宋" w:cs="Times New Roman"/>
          <w:sz w:val="28"/>
          <w:szCs w:val="28"/>
        </w:rPr>
        <w:t>有利于科学研究</w:t>
      </w:r>
      <w:r>
        <w:rPr>
          <w:rFonts w:hint="eastAsia" w:ascii="仿宋" w:hAnsi="仿宋" w:eastAsia="仿宋" w:cs="Times New Roman"/>
          <w:sz w:val="28"/>
          <w:szCs w:val="28"/>
        </w:rPr>
        <w:t>的</w:t>
      </w:r>
      <w:r>
        <w:rPr>
          <w:rFonts w:ascii="仿宋" w:hAnsi="仿宋" w:eastAsia="仿宋" w:cs="Times New Roman"/>
          <w:sz w:val="28"/>
          <w:szCs w:val="28"/>
        </w:rPr>
        <w:t>原则</w:t>
      </w:r>
      <w:r>
        <w:rPr>
          <w:rFonts w:hint="eastAsia" w:ascii="仿宋" w:hAnsi="仿宋" w:eastAsia="仿宋" w:cs="Times New Roman"/>
          <w:sz w:val="28"/>
          <w:szCs w:val="28"/>
        </w:rPr>
        <w:t>，</w:t>
      </w:r>
      <w:r>
        <w:rPr>
          <w:rFonts w:ascii="仿宋" w:hAnsi="仿宋" w:eastAsia="仿宋" w:cs="Times New Roman"/>
          <w:sz w:val="28"/>
          <w:szCs w:val="28"/>
        </w:rPr>
        <w:t>提</w:t>
      </w:r>
      <w:r>
        <w:rPr>
          <w:rFonts w:hint="eastAsia" w:ascii="仿宋" w:hAnsi="仿宋" w:eastAsia="仿宋" w:cs="Times New Roman"/>
          <w:sz w:val="28"/>
          <w:szCs w:val="28"/>
        </w:rPr>
        <w:t>高中青年科研</w:t>
      </w:r>
      <w:r>
        <w:rPr>
          <w:rFonts w:ascii="仿宋" w:hAnsi="仿宋" w:eastAsia="仿宋" w:cs="Times New Roman"/>
          <w:sz w:val="28"/>
          <w:szCs w:val="28"/>
        </w:rPr>
        <w:t>骨干的科研能力和水平</w:t>
      </w:r>
      <w:r>
        <w:rPr>
          <w:rFonts w:hint="eastAsia" w:ascii="仿宋" w:hAnsi="仿宋" w:eastAsia="仿宋" w:cs="Times New Roman"/>
          <w:sz w:val="28"/>
          <w:szCs w:val="28"/>
        </w:rPr>
        <w:t>，</w:t>
      </w:r>
      <w:r>
        <w:rPr>
          <w:rFonts w:ascii="仿宋" w:hAnsi="仿宋" w:eastAsia="仿宋" w:cs="Times New Roman"/>
          <w:sz w:val="28"/>
          <w:szCs w:val="28"/>
        </w:rPr>
        <w:t>出高质量研究成果</w:t>
      </w:r>
      <w:r>
        <w:rPr>
          <w:rFonts w:hint="eastAsia" w:ascii="仿宋" w:hAnsi="仿宋" w:eastAsia="仿宋" w:cs="Times New Roman"/>
          <w:sz w:val="28"/>
          <w:szCs w:val="28"/>
        </w:rPr>
        <w:t>，提升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学院</w:t>
      </w:r>
      <w:r>
        <w:rPr>
          <w:rFonts w:hint="eastAsia" w:ascii="仿宋" w:hAnsi="仿宋" w:eastAsia="仿宋" w:cs="Times New Roman"/>
          <w:sz w:val="28"/>
          <w:szCs w:val="28"/>
        </w:rPr>
        <w:t>核心竞争力。</w:t>
      </w:r>
    </w:p>
    <w:p>
      <w:pPr>
        <w:spacing w:line="360" w:lineRule="auto"/>
        <w:ind w:firstLine="562" w:firstLineChars="200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二、培养对象</w:t>
      </w:r>
      <w:r>
        <w:rPr>
          <w:rFonts w:hint="eastAsia" w:ascii="仿宋" w:hAnsi="仿宋" w:eastAsia="仿宋" w:cs="Times New Roman"/>
          <w:b/>
          <w:bCs/>
          <w:sz w:val="28"/>
          <w:szCs w:val="28"/>
          <w:lang w:eastAsia="zh-CN"/>
        </w:rPr>
        <w:t>与条件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eastAsia="zh-CN"/>
        </w:rPr>
        <w:t>培养对象为</w:t>
      </w:r>
      <w:r>
        <w:rPr>
          <w:rFonts w:hint="eastAsia" w:ascii="仿宋" w:hAnsi="仿宋" w:eastAsia="仿宋" w:cs="Times New Roman"/>
          <w:sz w:val="28"/>
          <w:szCs w:val="28"/>
        </w:rPr>
        <w:t>年龄不超过45周岁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的</w:t>
      </w:r>
      <w:r>
        <w:rPr>
          <w:rFonts w:hint="eastAsia" w:ascii="仿宋" w:hAnsi="仿宋" w:eastAsia="仿宋" w:cs="Times New Roman"/>
          <w:sz w:val="28"/>
          <w:szCs w:val="28"/>
        </w:rPr>
        <w:t>本校在编教职工，具有中级及以上职称或硕士及以上学位。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应具备以下条件：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1.政治思想素质好，有较强的事业心和良好的学术道德，治学严谨，诚实守信。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Times New Roman"/>
          <w:sz w:val="28"/>
          <w:szCs w:val="28"/>
        </w:rPr>
        <w:t>.基础理论和专业知识扎实，有明确的研究方向，在科研方面有一定潜能。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Times New Roman"/>
          <w:sz w:val="28"/>
          <w:szCs w:val="28"/>
        </w:rPr>
        <w:t>.近五年，主持市厅级及以上项目1项，且公开发表论文2篇；或获市厅级及以上科研成果奖1项。</w:t>
      </w:r>
    </w:p>
    <w:p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三、申报与审批程序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1.凡符合培养对象条件、愿意参加培养的教职工均可申报。分院教职工向所在分院提出申请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Times New Roman"/>
          <w:sz w:val="28"/>
          <w:szCs w:val="28"/>
        </w:rPr>
        <w:t>行政部门人员经所在部门同意后向科研处提出申请。</w:t>
      </w:r>
    </w:p>
    <w:p>
      <w:pPr>
        <w:ind w:firstLine="560" w:firstLineChars="200"/>
        <w:rPr>
          <w:rFonts w:hint="eastAsia" w:ascii="仿宋" w:hAnsi="仿宋" w:eastAsia="仿宋" w:cs="Times New Roman"/>
          <w:sz w:val="28"/>
          <w:szCs w:val="28"/>
          <w:lang w:eastAsia="zh-CN"/>
        </w:rPr>
      </w:pPr>
      <w:r>
        <w:rPr>
          <w:rFonts w:hint="eastAsia" w:ascii="仿宋" w:hAnsi="仿宋" w:eastAsia="仿宋" w:cs="Times New Roman"/>
          <w:sz w:val="28"/>
          <w:szCs w:val="28"/>
        </w:rPr>
        <w:t>2.申请者须填写《浙江育英职业技术学院学院科研骨干培养对象申请表》，并提供相关佐证材料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交</w:t>
      </w:r>
      <w:r>
        <w:rPr>
          <w:rFonts w:hint="eastAsia" w:ascii="仿宋" w:hAnsi="仿宋" w:eastAsia="仿宋" w:cs="Times New Roman"/>
          <w:sz w:val="28"/>
          <w:szCs w:val="28"/>
        </w:rPr>
        <w:t>所在分院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或科研处</w:t>
      </w:r>
      <w:r>
        <w:rPr>
          <w:rFonts w:hint="eastAsia" w:ascii="仿宋" w:hAnsi="仿宋" w:eastAsia="仿宋" w:cs="Times New Roman"/>
          <w:sz w:val="28"/>
          <w:szCs w:val="28"/>
        </w:rPr>
        <w:t>进行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资格</w:t>
      </w:r>
      <w:r>
        <w:rPr>
          <w:rFonts w:hint="eastAsia" w:ascii="仿宋" w:hAnsi="仿宋" w:eastAsia="仿宋" w:cs="Times New Roman"/>
          <w:sz w:val="28"/>
          <w:szCs w:val="28"/>
        </w:rPr>
        <w:t>审查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3.科研处汇总所有申报材料，组织专家评审，确定培养对象候选人名单，报学院讨论决定。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4.培养对象与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学院</w:t>
      </w:r>
      <w:r>
        <w:rPr>
          <w:rFonts w:hint="eastAsia" w:ascii="仿宋" w:hAnsi="仿宋" w:eastAsia="仿宋" w:cs="Times New Roman"/>
          <w:sz w:val="28"/>
          <w:szCs w:val="28"/>
        </w:rPr>
        <w:t>签订《浙江育英职业技术学院科研骨干培养计划任务书》。</w:t>
      </w:r>
    </w:p>
    <w:p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四、培养名额与经费资助标准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1.本计划培养中青年科研骨干</w:t>
      </w:r>
      <w:r>
        <w:rPr>
          <w:rFonts w:ascii="仿宋" w:hAnsi="仿宋" w:eastAsia="仿宋" w:cs="Times New Roman"/>
          <w:sz w:val="28"/>
          <w:szCs w:val="28"/>
        </w:rPr>
        <w:t>2</w:t>
      </w:r>
      <w:r>
        <w:rPr>
          <w:rFonts w:hint="eastAsia" w:ascii="仿宋" w:hAnsi="仿宋" w:eastAsia="仿宋" w:cs="Times New Roman"/>
          <w:sz w:val="28"/>
          <w:szCs w:val="28"/>
        </w:rPr>
        <w:t>0名左右，分二批实施，每批培养期为3年。2021-2022学年度开始，2023-2024学年度遴选结束。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2.学院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设立</w:t>
      </w:r>
      <w:r>
        <w:rPr>
          <w:rFonts w:hint="eastAsia" w:ascii="仿宋" w:hAnsi="仿宋" w:eastAsia="仿宋" w:cs="Times New Roman"/>
          <w:sz w:val="28"/>
          <w:szCs w:val="28"/>
        </w:rPr>
        <w:t>专项资金，每人资助3万元。</w:t>
      </w:r>
    </w:p>
    <w:p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五、培养形式与内容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1.培养形式：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共性的</w:t>
      </w:r>
      <w:r>
        <w:rPr>
          <w:rFonts w:hint="eastAsia" w:ascii="仿宋" w:hAnsi="仿宋" w:eastAsia="仿宋" w:cs="Times New Roman"/>
          <w:sz w:val="28"/>
          <w:szCs w:val="28"/>
        </w:rPr>
        <w:t>集中培训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与</w:t>
      </w:r>
      <w:r>
        <w:rPr>
          <w:rFonts w:hint="eastAsia" w:ascii="仿宋" w:hAnsi="仿宋" w:eastAsia="仿宋" w:cs="Times New Roman"/>
          <w:sz w:val="28"/>
          <w:szCs w:val="28"/>
        </w:rPr>
        <w:t>个性化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的</w:t>
      </w:r>
      <w:r>
        <w:rPr>
          <w:rFonts w:hint="eastAsia" w:ascii="仿宋" w:hAnsi="仿宋" w:eastAsia="仿宋" w:cs="Times New Roman"/>
          <w:sz w:val="28"/>
          <w:szCs w:val="28"/>
        </w:rPr>
        <w:t>专业化培训相结合。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共性的</w:t>
      </w:r>
      <w:r>
        <w:rPr>
          <w:rFonts w:hint="eastAsia" w:ascii="仿宋" w:hAnsi="仿宋" w:eastAsia="仿宋" w:cs="Times New Roman"/>
          <w:sz w:val="28"/>
          <w:szCs w:val="28"/>
        </w:rPr>
        <w:t>集中培训由科研处负责；个性化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的</w:t>
      </w:r>
      <w:r>
        <w:rPr>
          <w:rFonts w:hint="eastAsia" w:ascii="仿宋" w:hAnsi="仿宋" w:eastAsia="仿宋" w:cs="Times New Roman"/>
          <w:sz w:val="28"/>
          <w:szCs w:val="28"/>
        </w:rPr>
        <w:t>专业化培训由培养对象自行安排，可采用自学、短期培训、脱产进修、参加各种学术会议、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做</w:t>
      </w:r>
      <w:r>
        <w:rPr>
          <w:rFonts w:hint="eastAsia" w:ascii="仿宋" w:hAnsi="仿宋" w:eastAsia="仿宋" w:cs="Times New Roman"/>
          <w:sz w:val="28"/>
          <w:szCs w:val="28"/>
        </w:rPr>
        <w:t>访问学者和入企挂职锻炼等形式。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2.培养内容：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共性的</w:t>
      </w:r>
      <w:r>
        <w:rPr>
          <w:rFonts w:hint="eastAsia" w:ascii="仿宋" w:hAnsi="仿宋" w:eastAsia="仿宋" w:cs="Times New Roman"/>
          <w:sz w:val="28"/>
          <w:szCs w:val="28"/>
        </w:rPr>
        <w:t>集中培训主要内容为科研政策的解读、学术规范和科研诚信教育、科研项目及成果申报辅导、学术报告及学术经验交流等。个性化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的</w:t>
      </w:r>
      <w:r>
        <w:rPr>
          <w:rFonts w:hint="eastAsia" w:ascii="仿宋" w:hAnsi="仿宋" w:eastAsia="仿宋" w:cs="Times New Roman"/>
          <w:sz w:val="28"/>
          <w:szCs w:val="28"/>
        </w:rPr>
        <w:t>专业化培训主要内容是根据各人专业特点、所在学科及研究方向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和</w:t>
      </w:r>
      <w:r>
        <w:rPr>
          <w:rFonts w:hint="eastAsia" w:ascii="仿宋" w:hAnsi="仿宋" w:eastAsia="仿宋" w:cs="Times New Roman"/>
          <w:sz w:val="28"/>
          <w:szCs w:val="28"/>
        </w:rPr>
        <w:t>学用一致原则，自主选择培训内容。</w:t>
      </w:r>
    </w:p>
    <w:p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六、培养经费管理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1.培养对象资助经费建立专卡，分3次拨款，专款专用。第一年拨付培养资助经费的40%；年度考核合格者，第二年拨付30%；剩余的30%在培养期结束考核合格后拨付。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2.培养资助经费的使用范围、审批程序及权限参照《浙江育英职业技术学院科研管理办法》执行。</w:t>
      </w:r>
    </w:p>
    <w:p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七、培养考核与管理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1.实行分级管理。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学院科研处</w:t>
      </w:r>
      <w:r>
        <w:rPr>
          <w:rFonts w:hint="eastAsia" w:ascii="仿宋" w:hAnsi="仿宋" w:eastAsia="仿宋" w:cs="Times New Roman"/>
          <w:sz w:val="28"/>
          <w:szCs w:val="28"/>
        </w:rPr>
        <w:t>负责培养计划的组织实施、集中培训安排、培养期年度考核、成果认定及验收工作。各相关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分院</w:t>
      </w:r>
      <w:r>
        <w:rPr>
          <w:rFonts w:hint="eastAsia" w:ascii="仿宋" w:hAnsi="仿宋" w:eastAsia="仿宋" w:cs="Times New Roman"/>
          <w:sz w:val="28"/>
          <w:szCs w:val="28"/>
        </w:rPr>
        <w:t>、部门协助培养对象制订培养计划、检查培养进度、组织培养成果初审等。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2.按培养计划实施。学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院</w:t>
      </w:r>
      <w:r>
        <w:rPr>
          <w:rFonts w:hint="eastAsia" w:ascii="仿宋" w:hAnsi="仿宋" w:eastAsia="仿宋" w:cs="Times New Roman"/>
          <w:sz w:val="28"/>
          <w:szCs w:val="28"/>
        </w:rPr>
        <w:t>每年按培养计划任务书考核一次，年度考核不合格者，限期进行整改，并停拨下一年度培养经费。若因特殊情况未能按时完成培养计划者，由本人提出延长培养期申请，经所在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分院</w:t>
      </w:r>
      <w:r>
        <w:rPr>
          <w:rFonts w:hint="eastAsia" w:ascii="仿宋" w:hAnsi="仿宋" w:eastAsia="仿宋" w:cs="Times New Roman"/>
          <w:sz w:val="28"/>
          <w:szCs w:val="28"/>
        </w:rPr>
        <w:t>、部门签署意见后报科研处批准，培养期最多延长一年。对延期一年后仍未完成培养任务者以及调离学校者，学校视情况作出终止培养和追回培养经费的处理。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3.培养对象有下列情形之一者，学校将自动终止培养。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Times New Roman"/>
          <w:sz w:val="28"/>
          <w:szCs w:val="28"/>
        </w:rPr>
        <w:t>连续2次年度培养考核不合格者；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Times New Roman"/>
          <w:sz w:val="28"/>
          <w:szCs w:val="28"/>
        </w:rPr>
        <w:t>学术不端，发现造假、抄袭、剽窃他人科研成果者；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Times New Roman"/>
          <w:sz w:val="28"/>
          <w:szCs w:val="28"/>
        </w:rPr>
        <w:t>有严重违纪违法行为，受学校记过及以上处分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或二级及以上教学事故</w:t>
      </w:r>
      <w:r>
        <w:rPr>
          <w:rFonts w:hint="eastAsia" w:ascii="仿宋" w:hAnsi="仿宋" w:eastAsia="仿宋" w:cs="Times New Roman"/>
          <w:sz w:val="28"/>
          <w:szCs w:val="28"/>
        </w:rPr>
        <w:t>者；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）无法</w:t>
      </w:r>
      <w:r>
        <w:rPr>
          <w:rFonts w:hint="eastAsia" w:ascii="仿宋" w:hAnsi="仿宋" w:eastAsia="仿宋" w:cs="Times New Roman"/>
          <w:sz w:val="28"/>
          <w:szCs w:val="28"/>
        </w:rPr>
        <w:t>正常完成任务者。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4.培养期满考核标准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培养对象在培养期结束考核时必须符合相关业绩（所获业绩均为在培养期内）要求，具体如下：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（1）获如下业绩其中1项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①主持获省部级及以上科研项目1项；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②以第一作者公开发表二级（核心期刊）及以上论文2篇；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③作为主要负责人（排名前3）获省部级及以上科研成果奖1项；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④出版2</w:t>
      </w:r>
      <w:r>
        <w:rPr>
          <w:rFonts w:ascii="仿宋" w:hAnsi="仿宋" w:eastAsia="仿宋" w:cs="Times New Roman"/>
          <w:sz w:val="28"/>
          <w:szCs w:val="28"/>
        </w:rPr>
        <w:t>0</w:t>
      </w:r>
      <w:r>
        <w:rPr>
          <w:rFonts w:hint="eastAsia" w:ascii="仿宋" w:hAnsi="仿宋" w:eastAsia="仿宋" w:cs="Times New Roman"/>
          <w:sz w:val="28"/>
          <w:szCs w:val="28"/>
        </w:rPr>
        <w:t>万字以上学术著作1部；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⑤主持获授权职务发明专利2项；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⑥研究成果获省部级领导采纳批示1项（排名前2）；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⑦培养期内，累计横向项目财务到账经费人文社科类</w:t>
      </w:r>
      <w:r>
        <w:rPr>
          <w:rFonts w:ascii="仿宋" w:hAnsi="仿宋" w:eastAsia="仿宋" w:cs="Times New Roman"/>
          <w:sz w:val="28"/>
          <w:szCs w:val="28"/>
        </w:rPr>
        <w:t>5</w:t>
      </w:r>
      <w:r>
        <w:rPr>
          <w:rFonts w:hint="eastAsia" w:ascii="仿宋" w:hAnsi="仿宋" w:eastAsia="仿宋" w:cs="Times New Roman"/>
          <w:sz w:val="28"/>
          <w:szCs w:val="28"/>
        </w:rPr>
        <w:t>0万元、自然科学类1</w:t>
      </w:r>
      <w:r>
        <w:rPr>
          <w:rFonts w:ascii="仿宋" w:hAnsi="仿宋" w:eastAsia="仿宋" w:cs="Times New Roman"/>
          <w:sz w:val="28"/>
          <w:szCs w:val="28"/>
        </w:rPr>
        <w:t>0</w:t>
      </w:r>
      <w:r>
        <w:rPr>
          <w:rFonts w:hint="eastAsia" w:ascii="仿宋" w:hAnsi="仿宋" w:eastAsia="仿宋" w:cs="Times New Roman"/>
          <w:sz w:val="28"/>
          <w:szCs w:val="28"/>
        </w:rPr>
        <w:t>0万元；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（</w:t>
      </w:r>
      <w:r>
        <w:rPr>
          <w:rFonts w:ascii="仿宋" w:hAnsi="仿宋" w:eastAsia="仿宋" w:cs="Times New Roman"/>
          <w:sz w:val="28"/>
          <w:szCs w:val="28"/>
        </w:rPr>
        <w:t>2</w:t>
      </w:r>
      <w:r>
        <w:rPr>
          <w:rFonts w:hint="eastAsia" w:ascii="仿宋" w:hAnsi="仿宋" w:eastAsia="仿宋" w:cs="Times New Roman"/>
          <w:sz w:val="28"/>
          <w:szCs w:val="28"/>
        </w:rPr>
        <w:t>）获如下业绩其中2项及以上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①主持获市厅级科研项目</w:t>
      </w:r>
      <w:r>
        <w:rPr>
          <w:rFonts w:ascii="仿宋" w:hAnsi="仿宋" w:eastAsia="仿宋" w:cs="Times New Roman"/>
          <w:sz w:val="28"/>
          <w:szCs w:val="28"/>
        </w:rPr>
        <w:t>2</w:t>
      </w:r>
      <w:r>
        <w:rPr>
          <w:rFonts w:hint="eastAsia" w:ascii="仿宋" w:hAnsi="仿宋" w:eastAsia="仿宋" w:cs="Times New Roman"/>
          <w:sz w:val="28"/>
          <w:szCs w:val="28"/>
        </w:rPr>
        <w:t>项；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②作为主要负责人（排名前2）获市厅级科研成果奖2项；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③以第一作者公开发表论文5篇；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④出版2</w:t>
      </w:r>
      <w:r>
        <w:rPr>
          <w:rFonts w:ascii="仿宋" w:hAnsi="仿宋" w:eastAsia="仿宋" w:cs="Times New Roman"/>
          <w:sz w:val="28"/>
          <w:szCs w:val="28"/>
        </w:rPr>
        <w:t>0</w:t>
      </w:r>
      <w:r>
        <w:rPr>
          <w:rFonts w:hint="eastAsia" w:ascii="仿宋" w:hAnsi="仿宋" w:eastAsia="仿宋" w:cs="Times New Roman"/>
          <w:sz w:val="28"/>
          <w:szCs w:val="28"/>
        </w:rPr>
        <w:t>万字以上编著1部（需符合学院出版要求）；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⑤主持获授权实用新型（含外观设计）专利3项，或作为主要发明人（排名前2）获授权职务发明专利</w:t>
      </w:r>
      <w:r>
        <w:rPr>
          <w:rFonts w:ascii="仿宋" w:hAnsi="仿宋" w:eastAsia="仿宋" w:cs="Times New Roman"/>
          <w:sz w:val="28"/>
          <w:szCs w:val="28"/>
        </w:rPr>
        <w:t>1</w:t>
      </w:r>
      <w:r>
        <w:rPr>
          <w:rFonts w:hint="eastAsia" w:ascii="仿宋" w:hAnsi="仿宋" w:eastAsia="仿宋" w:cs="Times New Roman"/>
          <w:sz w:val="28"/>
          <w:szCs w:val="28"/>
        </w:rPr>
        <w:t>项；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⑥研究成果获市厅级领导批示</w:t>
      </w:r>
      <w:r>
        <w:rPr>
          <w:rFonts w:ascii="仿宋" w:hAnsi="仿宋" w:eastAsia="仿宋" w:cs="Times New Roman"/>
          <w:sz w:val="28"/>
          <w:szCs w:val="28"/>
        </w:rPr>
        <w:t>1</w:t>
      </w:r>
      <w:r>
        <w:rPr>
          <w:rFonts w:hint="eastAsia" w:ascii="仿宋" w:hAnsi="仿宋" w:eastAsia="仿宋" w:cs="Times New Roman"/>
          <w:sz w:val="28"/>
          <w:szCs w:val="28"/>
        </w:rPr>
        <w:t>项（排名前2）；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⑦培养期内，累计横向项目财务到账经费人文社科类</w:t>
      </w:r>
      <w:r>
        <w:rPr>
          <w:rFonts w:ascii="仿宋" w:hAnsi="仿宋" w:eastAsia="仿宋" w:cs="Times New Roman"/>
          <w:sz w:val="28"/>
          <w:szCs w:val="28"/>
        </w:rPr>
        <w:t>2</w:t>
      </w:r>
      <w:r>
        <w:rPr>
          <w:rFonts w:hint="eastAsia" w:ascii="仿宋" w:hAnsi="仿宋" w:eastAsia="仿宋" w:cs="Times New Roman"/>
          <w:sz w:val="28"/>
          <w:szCs w:val="28"/>
        </w:rPr>
        <w:t>0万元、自然科学类</w:t>
      </w:r>
      <w:r>
        <w:rPr>
          <w:rFonts w:ascii="仿宋" w:hAnsi="仿宋" w:eastAsia="仿宋" w:cs="Times New Roman"/>
          <w:sz w:val="28"/>
          <w:szCs w:val="28"/>
        </w:rPr>
        <w:t>5</w:t>
      </w:r>
      <w:r>
        <w:rPr>
          <w:rFonts w:hint="eastAsia" w:ascii="仿宋" w:hAnsi="仿宋" w:eastAsia="仿宋" w:cs="Times New Roman"/>
          <w:sz w:val="28"/>
          <w:szCs w:val="28"/>
        </w:rPr>
        <w:t>0万元；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⑧参加企业（行业）技术改造和研发等项目，成绩突出，给企业（行业）带来明显的社会效益和经济效益（企业、行业提供佐证材料，学院科研处组织专家认定）。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C37E7"/>
    <w:rsid w:val="00045329"/>
    <w:rsid w:val="001E225B"/>
    <w:rsid w:val="002F0F0F"/>
    <w:rsid w:val="00336AB7"/>
    <w:rsid w:val="004678F5"/>
    <w:rsid w:val="00502F71"/>
    <w:rsid w:val="00582F6E"/>
    <w:rsid w:val="005E5815"/>
    <w:rsid w:val="006117F7"/>
    <w:rsid w:val="0061702C"/>
    <w:rsid w:val="00644E96"/>
    <w:rsid w:val="006544D3"/>
    <w:rsid w:val="007C57E7"/>
    <w:rsid w:val="008B704F"/>
    <w:rsid w:val="00987362"/>
    <w:rsid w:val="00A562FB"/>
    <w:rsid w:val="00B96579"/>
    <w:rsid w:val="00BC6936"/>
    <w:rsid w:val="00BD1E94"/>
    <w:rsid w:val="00BD2DE1"/>
    <w:rsid w:val="00C61419"/>
    <w:rsid w:val="00CA1B1D"/>
    <w:rsid w:val="00CB1160"/>
    <w:rsid w:val="00D7737E"/>
    <w:rsid w:val="00DD7F86"/>
    <w:rsid w:val="00E6484B"/>
    <w:rsid w:val="00E85778"/>
    <w:rsid w:val="00EB1027"/>
    <w:rsid w:val="00EC37E7"/>
    <w:rsid w:val="00F6152D"/>
    <w:rsid w:val="00FA069E"/>
    <w:rsid w:val="1533662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307</Words>
  <Characters>1753</Characters>
  <Lines>14</Lines>
  <Paragraphs>4</Paragraphs>
  <TotalTime>0</TotalTime>
  <ScaleCrop>false</ScaleCrop>
  <LinksUpToDate>false</LinksUpToDate>
  <CharactersWithSpaces>2056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2020-11-09T02:49:00Z</dcterms:created>
  <dc:creator>周鹏</dc:creator>
  <cp:lastModifiedBy>Administrator</cp:lastModifiedBy>
  <dcterms:modified xsi:type="dcterms:W3CDTF">2020-12-21T03:27:05Z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